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81" w:rsidRDefault="00584681" w:rsidP="00701FCE">
      <w:pPr>
        <w:numPr>
          <w:ilvl w:val="0"/>
          <w:numId w:val="1"/>
        </w:numPr>
        <w:spacing w:after="240"/>
        <w:rPr>
          <w:rFonts w:ascii="Century Gothic" w:eastAsia="Times New Roman" w:hAnsi="Century Gothic"/>
          <w:color w:val="2E74B5"/>
          <w:sz w:val="28"/>
          <w:szCs w:val="28"/>
        </w:rPr>
      </w:pPr>
      <w:r>
        <w:rPr>
          <w:rFonts w:ascii="Century Gothic" w:eastAsia="Times New Roman" w:hAnsi="Century Gothic"/>
          <w:color w:val="2E74B5"/>
          <w:sz w:val="28"/>
          <w:szCs w:val="28"/>
        </w:rPr>
        <w:t>Log in to TESTHOUND</w:t>
      </w:r>
    </w:p>
    <w:p w:rsidR="00584681" w:rsidRDefault="00584681" w:rsidP="00701FCE">
      <w:pPr>
        <w:numPr>
          <w:ilvl w:val="0"/>
          <w:numId w:val="1"/>
        </w:numPr>
        <w:spacing w:after="240"/>
        <w:rPr>
          <w:rFonts w:ascii="Century Gothic" w:eastAsia="Times New Roman" w:hAnsi="Century Gothic"/>
          <w:color w:val="2E74B5"/>
          <w:sz w:val="28"/>
          <w:szCs w:val="28"/>
        </w:rPr>
      </w:pPr>
      <w:r>
        <w:rPr>
          <w:rFonts w:ascii="Century Gothic" w:eastAsia="Times New Roman" w:hAnsi="Century Gothic"/>
          <w:color w:val="2E74B5"/>
          <w:sz w:val="28"/>
          <w:szCs w:val="28"/>
        </w:rPr>
        <w:t xml:space="preserve">Select </w:t>
      </w:r>
      <w:r>
        <w:rPr>
          <w:rFonts w:ascii="Century Gothic" w:eastAsia="Times New Roman" w:hAnsi="Century Gothic"/>
          <w:b/>
          <w:bCs/>
          <w:color w:val="00B050"/>
          <w:sz w:val="28"/>
          <w:szCs w:val="28"/>
        </w:rPr>
        <w:t>MATERIALS</w:t>
      </w:r>
      <w:r>
        <w:rPr>
          <w:rFonts w:ascii="Century Gothic" w:eastAsia="Times New Roman" w:hAnsi="Century Gothic"/>
          <w:color w:val="2E74B5"/>
          <w:sz w:val="28"/>
          <w:szCs w:val="28"/>
        </w:rPr>
        <w:t xml:space="preserve"> AND then </w:t>
      </w:r>
    </w:p>
    <w:p w:rsidR="00584681" w:rsidRDefault="00584681" w:rsidP="00701FCE">
      <w:pPr>
        <w:numPr>
          <w:ilvl w:val="0"/>
          <w:numId w:val="1"/>
        </w:numPr>
        <w:spacing w:after="240"/>
        <w:rPr>
          <w:rFonts w:ascii="Century Gothic" w:eastAsia="Times New Roman" w:hAnsi="Century Gothic"/>
          <w:color w:val="2E74B5"/>
          <w:sz w:val="28"/>
          <w:szCs w:val="28"/>
        </w:rPr>
      </w:pPr>
      <w:r>
        <w:rPr>
          <w:rFonts w:ascii="Century Gothic" w:eastAsia="Times New Roman" w:hAnsi="Century Gothic"/>
          <w:color w:val="2E74B5"/>
          <w:sz w:val="28"/>
          <w:szCs w:val="28"/>
        </w:rPr>
        <w:t xml:space="preserve">Select </w:t>
      </w:r>
      <w:r>
        <w:rPr>
          <w:rFonts w:ascii="Century Gothic" w:eastAsia="Times New Roman" w:hAnsi="Century Gothic"/>
          <w:b/>
          <w:bCs/>
          <w:color w:val="00B050"/>
          <w:sz w:val="28"/>
          <w:szCs w:val="28"/>
        </w:rPr>
        <w:t>SCAN TO BOXES</w:t>
      </w:r>
    </w:p>
    <w:p w:rsidR="00584681" w:rsidRDefault="00584681" w:rsidP="00701FCE">
      <w:pPr>
        <w:numPr>
          <w:ilvl w:val="0"/>
          <w:numId w:val="1"/>
        </w:numPr>
        <w:spacing w:after="240"/>
        <w:rPr>
          <w:rFonts w:ascii="Century Gothic" w:eastAsia="Times New Roman" w:hAnsi="Century Gothic"/>
          <w:color w:val="2E74B5"/>
          <w:sz w:val="28"/>
          <w:szCs w:val="28"/>
        </w:rPr>
      </w:pPr>
      <w:r>
        <w:rPr>
          <w:rFonts w:ascii="Century Gothic" w:eastAsia="Times New Roman" w:hAnsi="Century Gothic"/>
          <w:color w:val="2E74B5"/>
          <w:sz w:val="28"/>
          <w:szCs w:val="28"/>
        </w:rPr>
        <w:t>Complete Fields as indicated in visual below:</w:t>
      </w:r>
    </w:p>
    <w:p w:rsidR="00584681" w:rsidRDefault="00584681" w:rsidP="00701FCE">
      <w:pPr>
        <w:pStyle w:val="ListParagraph"/>
        <w:jc w:val="center"/>
        <w:rPr>
          <w:rFonts w:ascii="Century Gothic" w:hAnsi="Century Gothic"/>
          <w:color w:val="2E74B5"/>
          <w:sz w:val="28"/>
          <w:szCs w:val="28"/>
        </w:rPr>
      </w:pPr>
      <w:r>
        <w:rPr>
          <w:noProof/>
        </w:rPr>
        <w:drawing>
          <wp:inline distT="0" distB="0" distL="0" distR="0">
            <wp:extent cx="5532120" cy="3440753"/>
            <wp:effectExtent l="0" t="0" r="0" b="7620"/>
            <wp:docPr id="3" name="Picture 3" descr="cid:image005.jpg@01D72A14.304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D72A14.304109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866" cy="346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CE" w:rsidRDefault="00701FCE" w:rsidP="00584681">
      <w:pPr>
        <w:rPr>
          <w:rFonts w:ascii="Century Gothic" w:hAnsi="Century Gothic"/>
          <w:b/>
          <w:bCs/>
          <w:color w:val="00B050"/>
          <w:sz w:val="40"/>
          <w:szCs w:val="40"/>
        </w:rPr>
      </w:pPr>
      <w:r>
        <w:rPr>
          <w:rFonts w:ascii="Century Gothic" w:hAnsi="Century Gothic"/>
          <w:b/>
          <w:bCs/>
          <w:color w:val="00B050"/>
          <w:sz w:val="40"/>
          <w:szCs w:val="40"/>
        </w:rPr>
        <w:br w:type="page"/>
      </w:r>
    </w:p>
    <w:p w:rsidR="00584681" w:rsidRDefault="00584681" w:rsidP="00701FCE">
      <w:pPr>
        <w:spacing w:after="240"/>
        <w:rPr>
          <w:rFonts w:ascii="Century Gothic" w:hAnsi="Century Gothic"/>
          <w:b/>
          <w:bCs/>
          <w:color w:val="00B050"/>
          <w:sz w:val="40"/>
          <w:szCs w:val="40"/>
        </w:rPr>
      </w:pPr>
      <w:r>
        <w:rPr>
          <w:rFonts w:ascii="Century Gothic" w:hAnsi="Century Gothic"/>
          <w:b/>
          <w:bCs/>
          <w:color w:val="00B050"/>
          <w:sz w:val="40"/>
          <w:szCs w:val="40"/>
        </w:rPr>
        <w:lastRenderedPageBreak/>
        <w:t>KEY POINTS</w:t>
      </w:r>
      <w:proofErr w:type="gramStart"/>
      <w:r>
        <w:rPr>
          <w:rFonts w:ascii="Century Gothic" w:hAnsi="Century Gothic"/>
          <w:b/>
          <w:bCs/>
          <w:color w:val="00B050"/>
          <w:sz w:val="40"/>
          <w:szCs w:val="40"/>
        </w:rPr>
        <w:t>!!</w:t>
      </w:r>
      <w:proofErr w:type="gramEnd"/>
    </w:p>
    <w:p w:rsidR="00584681" w:rsidRDefault="00584681" w:rsidP="00701FCE">
      <w:pPr>
        <w:numPr>
          <w:ilvl w:val="0"/>
          <w:numId w:val="2"/>
        </w:numPr>
        <w:spacing w:after="240"/>
        <w:rPr>
          <w:rFonts w:ascii="Century Gothic" w:eastAsia="Times New Roman" w:hAnsi="Century Gothic"/>
          <w:color w:val="2E74B5"/>
          <w:sz w:val="28"/>
          <w:szCs w:val="28"/>
        </w:rPr>
      </w:pPr>
      <w:r>
        <w:rPr>
          <w:rFonts w:ascii="Century Gothic" w:eastAsia="Times New Roman" w:hAnsi="Century Gothic"/>
          <w:color w:val="2E74B5"/>
          <w:sz w:val="28"/>
          <w:szCs w:val="28"/>
        </w:rPr>
        <w:t xml:space="preserve">There are only </w:t>
      </w:r>
      <w:proofErr w:type="gramStart"/>
      <w:r>
        <w:rPr>
          <w:rFonts w:ascii="Century Gothic" w:eastAsia="Times New Roman" w:hAnsi="Century Gothic"/>
          <w:color w:val="2E74B5"/>
          <w:sz w:val="28"/>
          <w:szCs w:val="28"/>
        </w:rPr>
        <w:t>2</w:t>
      </w:r>
      <w:proofErr w:type="gramEnd"/>
      <w:r>
        <w:rPr>
          <w:rFonts w:ascii="Century Gothic" w:eastAsia="Times New Roman" w:hAnsi="Century Gothic"/>
          <w:color w:val="2E74B5"/>
          <w:sz w:val="28"/>
          <w:szCs w:val="28"/>
        </w:rPr>
        <w:t xml:space="preserve"> April Options: April STAAR EOC &amp; April STAAR Grades 4 &amp; 7 Writing.  Select the one applicable to your level.</w:t>
      </w:r>
    </w:p>
    <w:p w:rsidR="00584681" w:rsidRDefault="00584681" w:rsidP="00701FCE">
      <w:pPr>
        <w:numPr>
          <w:ilvl w:val="0"/>
          <w:numId w:val="2"/>
        </w:numPr>
        <w:spacing w:after="240"/>
        <w:rPr>
          <w:rFonts w:ascii="Century Gothic" w:eastAsia="Times New Roman" w:hAnsi="Century Gothic"/>
          <w:color w:val="2E74B5"/>
          <w:sz w:val="28"/>
          <w:szCs w:val="28"/>
        </w:rPr>
      </w:pPr>
      <w:r>
        <w:rPr>
          <w:rFonts w:ascii="Century Gothic" w:eastAsia="Times New Roman" w:hAnsi="Century Gothic"/>
          <w:color w:val="2E74B5"/>
          <w:sz w:val="28"/>
          <w:szCs w:val="28"/>
        </w:rPr>
        <w:t xml:space="preserve">You will be able to SCAN BOOKLETS and PACKETS.  Make sure to choose the appropriate option from the SCAN TYPE Drop Down! </w:t>
      </w:r>
    </w:p>
    <w:p w:rsidR="00584681" w:rsidRDefault="00584681" w:rsidP="00701FCE">
      <w:pPr>
        <w:numPr>
          <w:ilvl w:val="1"/>
          <w:numId w:val="2"/>
        </w:numPr>
        <w:spacing w:after="240"/>
        <w:rPr>
          <w:rFonts w:ascii="Century Gothic" w:eastAsia="Times New Roman" w:hAnsi="Century Gothic"/>
          <w:color w:val="2E74B5"/>
          <w:sz w:val="28"/>
          <w:szCs w:val="28"/>
        </w:rPr>
      </w:pPr>
      <w:r>
        <w:rPr>
          <w:rFonts w:ascii="Century Gothic" w:eastAsia="Times New Roman" w:hAnsi="Century Gothic"/>
          <w:color w:val="2E74B5"/>
          <w:sz w:val="28"/>
          <w:szCs w:val="28"/>
        </w:rPr>
        <w:t xml:space="preserve"> The BOOKLET Option is to scan BOOKLET by BOOKLET (think of the ones the students </w:t>
      </w:r>
      <w:proofErr w:type="gramStart"/>
      <w:r>
        <w:rPr>
          <w:rFonts w:ascii="Century Gothic" w:eastAsia="Times New Roman" w:hAnsi="Century Gothic"/>
          <w:color w:val="2E74B5"/>
          <w:sz w:val="28"/>
          <w:szCs w:val="28"/>
        </w:rPr>
        <w:t>used )</w:t>
      </w:r>
      <w:proofErr w:type="gramEnd"/>
      <w:r>
        <w:rPr>
          <w:rFonts w:ascii="Century Gothic" w:eastAsia="Times New Roman" w:hAnsi="Century Gothic"/>
          <w:color w:val="2E74B5"/>
          <w:sz w:val="28"/>
          <w:szCs w:val="28"/>
        </w:rPr>
        <w:t xml:space="preserve">.  </w:t>
      </w:r>
    </w:p>
    <w:p w:rsidR="00584681" w:rsidRDefault="00584681" w:rsidP="00701FCE">
      <w:pPr>
        <w:numPr>
          <w:ilvl w:val="1"/>
          <w:numId w:val="2"/>
        </w:numPr>
        <w:spacing w:after="240"/>
        <w:rPr>
          <w:rFonts w:ascii="Century Gothic" w:eastAsia="Times New Roman" w:hAnsi="Century Gothic"/>
          <w:color w:val="2E74B5"/>
          <w:sz w:val="28"/>
          <w:szCs w:val="28"/>
        </w:rPr>
      </w:pPr>
      <w:r>
        <w:rPr>
          <w:rFonts w:ascii="Century Gothic" w:eastAsia="Times New Roman" w:hAnsi="Century Gothic"/>
          <w:color w:val="2E74B5"/>
          <w:sz w:val="28"/>
          <w:szCs w:val="28"/>
        </w:rPr>
        <w:t xml:space="preserve">The PACKET Option is to scan Packet by packet (think of the unused bundles of booklets still </w:t>
      </w:r>
      <w:proofErr w:type="gramStart"/>
      <w:r>
        <w:rPr>
          <w:rFonts w:ascii="Century Gothic" w:eastAsia="Times New Roman" w:hAnsi="Century Gothic"/>
          <w:color w:val="2E74B5"/>
          <w:sz w:val="28"/>
          <w:szCs w:val="28"/>
        </w:rPr>
        <w:t>shrink wrapped</w:t>
      </w:r>
      <w:proofErr w:type="gramEnd"/>
      <w:r>
        <w:rPr>
          <w:rFonts w:ascii="Century Gothic" w:eastAsia="Times New Roman" w:hAnsi="Century Gothic"/>
          <w:color w:val="2E74B5"/>
          <w:sz w:val="28"/>
          <w:szCs w:val="28"/>
        </w:rPr>
        <w:t xml:space="preserve"> </w:t>
      </w:r>
      <w:r>
        <w:rPr>
          <w:rFonts w:ascii="Segoe UI Emoji" w:eastAsia="Times New Roman" w:hAnsi="Segoe UI Emoji"/>
          <w:color w:val="2E74B5"/>
          <w:sz w:val="28"/>
          <w:szCs w:val="28"/>
        </w:rPr>
        <w:t>😊</w:t>
      </w:r>
      <w:r>
        <w:rPr>
          <w:rFonts w:ascii="Century Gothic" w:eastAsia="Times New Roman" w:hAnsi="Century Gothic"/>
          <w:color w:val="2E74B5"/>
          <w:sz w:val="28"/>
          <w:szCs w:val="28"/>
        </w:rPr>
        <w:t>).  For this, you will scan the beginning and ending bar codes (top and bottom)</w:t>
      </w:r>
    </w:p>
    <w:p w:rsidR="00584681" w:rsidRDefault="00584681" w:rsidP="00701FCE">
      <w:pPr>
        <w:numPr>
          <w:ilvl w:val="0"/>
          <w:numId w:val="2"/>
        </w:numPr>
        <w:spacing w:after="240"/>
        <w:rPr>
          <w:rFonts w:ascii="Century Gothic" w:eastAsia="Times New Roman" w:hAnsi="Century Gothic"/>
          <w:color w:val="2E74B5"/>
          <w:sz w:val="28"/>
          <w:szCs w:val="28"/>
        </w:rPr>
      </w:pPr>
      <w:r>
        <w:rPr>
          <w:rFonts w:ascii="Century Gothic" w:eastAsia="Times New Roman" w:hAnsi="Century Gothic"/>
          <w:color w:val="2E74B5"/>
          <w:sz w:val="28"/>
          <w:szCs w:val="28"/>
        </w:rPr>
        <w:t xml:space="preserve">Under the </w:t>
      </w:r>
      <w:r>
        <w:rPr>
          <w:rFonts w:ascii="Century Gothic" w:eastAsia="Times New Roman" w:hAnsi="Century Gothic"/>
          <w:b/>
          <w:bCs/>
          <w:color w:val="00B050"/>
          <w:sz w:val="28"/>
          <w:szCs w:val="28"/>
        </w:rPr>
        <w:t>Select Box</w:t>
      </w:r>
      <w:r>
        <w:rPr>
          <w:rFonts w:ascii="Century Gothic" w:eastAsia="Times New Roman" w:hAnsi="Century Gothic"/>
          <w:color w:val="00B050"/>
          <w:sz w:val="28"/>
          <w:szCs w:val="28"/>
        </w:rPr>
        <w:t xml:space="preserve"> </w:t>
      </w:r>
      <w:r>
        <w:rPr>
          <w:rFonts w:ascii="Century Gothic" w:eastAsia="Times New Roman" w:hAnsi="Century Gothic"/>
          <w:color w:val="2E74B5"/>
          <w:sz w:val="28"/>
          <w:szCs w:val="28"/>
        </w:rPr>
        <w:t>Option, You will start to “fill in” Box one. Once the box is full, you will have to SELECT from drop down arrow BOX 2 to continue with scanning process.  Every time a box “fills up”, you will select a new box to place them in.  Follow Numerical sequence!</w:t>
      </w:r>
    </w:p>
    <w:p w:rsidR="00584681" w:rsidRDefault="00584681" w:rsidP="00701FCE">
      <w:pPr>
        <w:numPr>
          <w:ilvl w:val="0"/>
          <w:numId w:val="2"/>
        </w:numPr>
        <w:spacing w:after="240"/>
        <w:rPr>
          <w:rFonts w:ascii="Century Gothic" w:eastAsia="Times New Roman" w:hAnsi="Century Gothic"/>
          <w:color w:val="FF0000"/>
          <w:sz w:val="28"/>
          <w:szCs w:val="28"/>
        </w:rPr>
      </w:pPr>
      <w:r>
        <w:rPr>
          <w:rFonts w:ascii="Century Gothic" w:eastAsia="Times New Roman" w:hAnsi="Century Gothic"/>
          <w:color w:val="FF0000"/>
          <w:sz w:val="28"/>
          <w:szCs w:val="28"/>
        </w:rPr>
        <w:t xml:space="preserve">If you find yourself with an overflowing box…you just remove the booklets that DO NOT fit in </w:t>
      </w:r>
      <w:proofErr w:type="gramStart"/>
      <w:r>
        <w:rPr>
          <w:rFonts w:ascii="Century Gothic" w:eastAsia="Times New Roman" w:hAnsi="Century Gothic"/>
          <w:color w:val="FF0000"/>
          <w:sz w:val="28"/>
          <w:szCs w:val="28"/>
        </w:rPr>
        <w:t>let’s</w:t>
      </w:r>
      <w:proofErr w:type="gramEnd"/>
      <w:r>
        <w:rPr>
          <w:rFonts w:ascii="Century Gothic" w:eastAsia="Times New Roman" w:hAnsi="Century Gothic"/>
          <w:color w:val="FF0000"/>
          <w:sz w:val="28"/>
          <w:szCs w:val="28"/>
        </w:rPr>
        <w:t xml:space="preserve"> say box 1 and Go to the </w:t>
      </w:r>
      <w:r>
        <w:rPr>
          <w:rFonts w:ascii="Century Gothic" w:eastAsia="Times New Roman" w:hAnsi="Century Gothic"/>
          <w:color w:val="FF0000"/>
          <w:sz w:val="28"/>
          <w:szCs w:val="28"/>
          <w:highlight w:val="yellow"/>
        </w:rPr>
        <w:t>SELECT BOX</w:t>
      </w:r>
      <w:r>
        <w:rPr>
          <w:rFonts w:ascii="Century Gothic" w:eastAsia="Times New Roman" w:hAnsi="Century Gothic"/>
          <w:color w:val="FF0000"/>
          <w:sz w:val="28"/>
          <w:szCs w:val="28"/>
        </w:rPr>
        <w:t xml:space="preserve"> option and change to Box 2. Now, scan the booklets you removed from Box 1 into Box 2.  The system will automatically “delete” the overflow from Box 1!</w:t>
      </w:r>
    </w:p>
    <w:p w:rsidR="00701FCE" w:rsidRDefault="00701FCE" w:rsidP="00584681">
      <w:pPr>
        <w:rPr>
          <w:rFonts w:ascii="Century Gothic" w:hAnsi="Century Gothic"/>
          <w:b/>
          <w:bCs/>
          <w:color w:val="00B050"/>
          <w:sz w:val="28"/>
          <w:szCs w:val="28"/>
        </w:rPr>
      </w:pPr>
      <w:r>
        <w:rPr>
          <w:rFonts w:ascii="Century Gothic" w:hAnsi="Century Gothic"/>
          <w:b/>
          <w:bCs/>
          <w:color w:val="00B050"/>
          <w:sz w:val="28"/>
          <w:szCs w:val="28"/>
        </w:rPr>
        <w:br w:type="page"/>
      </w:r>
    </w:p>
    <w:p w:rsidR="00584681" w:rsidRDefault="00584681" w:rsidP="00584681">
      <w:pPr>
        <w:rPr>
          <w:rFonts w:ascii="Century Gothic" w:hAnsi="Century Gothic"/>
          <w:b/>
          <w:bCs/>
          <w:color w:val="00B050"/>
          <w:sz w:val="28"/>
          <w:szCs w:val="28"/>
        </w:rPr>
      </w:pPr>
      <w:r>
        <w:rPr>
          <w:rFonts w:ascii="Century Gothic" w:hAnsi="Century Gothic"/>
          <w:b/>
          <w:bCs/>
          <w:color w:val="00B050"/>
          <w:sz w:val="28"/>
          <w:szCs w:val="28"/>
        </w:rPr>
        <w:lastRenderedPageBreak/>
        <w:t xml:space="preserve">Keep in mind that by clicking the </w:t>
      </w:r>
      <w:r>
        <w:rPr>
          <w:noProof/>
        </w:rPr>
        <w:drawing>
          <wp:inline distT="0" distB="0" distL="0" distR="0">
            <wp:extent cx="259131" cy="616978"/>
            <wp:effectExtent l="0" t="0" r="7620" b="0"/>
            <wp:docPr id="2" name="Picture 2" descr="cid:image006.png@01D72A13.B944F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png@01D72A13.B944FB9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2" cy="65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color w:val="00B050"/>
          <w:sz w:val="28"/>
          <w:szCs w:val="28"/>
        </w:rPr>
        <w:t xml:space="preserve"> tab on this SCAN to </w:t>
      </w:r>
      <w:proofErr w:type="spellStart"/>
      <w:r>
        <w:rPr>
          <w:rFonts w:ascii="Century Gothic" w:hAnsi="Century Gothic"/>
          <w:b/>
          <w:bCs/>
          <w:color w:val="00B050"/>
          <w:sz w:val="28"/>
          <w:szCs w:val="28"/>
        </w:rPr>
        <w:t>BoXES</w:t>
      </w:r>
      <w:proofErr w:type="spellEnd"/>
      <w:r>
        <w:rPr>
          <w:rFonts w:ascii="Century Gothic" w:hAnsi="Century Gothic"/>
          <w:b/>
          <w:bCs/>
          <w:color w:val="00B050"/>
          <w:sz w:val="28"/>
          <w:szCs w:val="28"/>
        </w:rPr>
        <w:t xml:space="preserve"> section, you will get access to an additional video and an article on how to scan STAAR Testing materials into boxes. See below:</w:t>
      </w:r>
    </w:p>
    <w:p w:rsidR="00584681" w:rsidRDefault="00584681" w:rsidP="00584681">
      <w:pPr>
        <w:rPr>
          <w:rFonts w:ascii="Century Gothic" w:hAnsi="Century Gothic"/>
          <w:b/>
          <w:bCs/>
          <w:color w:val="00B050"/>
          <w:sz w:val="28"/>
          <w:szCs w:val="28"/>
        </w:rPr>
      </w:pPr>
    </w:p>
    <w:p w:rsidR="00584681" w:rsidRDefault="00584681" w:rsidP="00701FCE">
      <w:pPr>
        <w:jc w:val="center"/>
        <w:rPr>
          <w:rFonts w:ascii="Century Gothic" w:hAnsi="Century Gothic"/>
          <w:b/>
          <w:bCs/>
          <w:color w:val="00B050"/>
          <w:sz w:val="28"/>
          <w:szCs w:val="28"/>
        </w:rPr>
      </w:pPr>
      <w:r>
        <w:rPr>
          <w:noProof/>
        </w:rPr>
        <w:drawing>
          <wp:inline distT="0" distB="0" distL="0" distR="0">
            <wp:extent cx="8815705" cy="2623210"/>
            <wp:effectExtent l="0" t="0" r="4445" b="5715"/>
            <wp:docPr id="1" name="Picture 1" descr="cid:image007.jpg@01D72A14.304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7.jpg@01D72A14.304109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018" cy="265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81" w:rsidRDefault="00584681" w:rsidP="00584681">
      <w:pPr>
        <w:pStyle w:val="ListParagraph"/>
        <w:rPr>
          <w:rFonts w:ascii="Century Gothic" w:hAnsi="Century Gothic"/>
          <w:b/>
          <w:bCs/>
          <w:color w:val="00B050"/>
          <w:sz w:val="28"/>
          <w:szCs w:val="28"/>
        </w:rPr>
      </w:pPr>
    </w:p>
    <w:p w:rsidR="00584681" w:rsidRDefault="00584681" w:rsidP="00584681">
      <w:pPr>
        <w:ind w:left="360"/>
        <w:rPr>
          <w:rFonts w:ascii="Century Gothic" w:hAnsi="Century Gothic"/>
          <w:color w:val="2E74B5"/>
          <w:sz w:val="28"/>
          <w:szCs w:val="28"/>
        </w:rPr>
      </w:pPr>
    </w:p>
    <w:p w:rsidR="002F7F5A" w:rsidRDefault="002F7F5A">
      <w:bookmarkStart w:id="0" w:name="_GoBack"/>
      <w:bookmarkEnd w:id="0"/>
    </w:p>
    <w:sectPr w:rsidR="002F7F5A" w:rsidSect="00701FCE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CE" w:rsidRDefault="00701FCE" w:rsidP="00701FCE">
      <w:r>
        <w:separator/>
      </w:r>
    </w:p>
  </w:endnote>
  <w:endnote w:type="continuationSeparator" w:id="0">
    <w:p w:rsidR="00701FCE" w:rsidRDefault="00701FCE" w:rsidP="0070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510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FCE" w:rsidRDefault="00701F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FCE" w:rsidRDefault="00701FC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-438785</wp:posOffset>
          </wp:positionV>
          <wp:extent cx="826002" cy="6019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E Logo new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02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CE" w:rsidRDefault="00701FCE" w:rsidP="00701FCE">
      <w:r>
        <w:separator/>
      </w:r>
    </w:p>
  </w:footnote>
  <w:footnote w:type="continuationSeparator" w:id="0">
    <w:p w:rsidR="00701FCE" w:rsidRDefault="00701FCE" w:rsidP="0070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CE" w:rsidRPr="00701FCE" w:rsidRDefault="00701FCE" w:rsidP="00701FCE">
    <w:pPr>
      <w:spacing w:after="240"/>
      <w:jc w:val="center"/>
      <w:rPr>
        <w:b/>
        <w:bCs/>
        <w:color w:val="0070C0"/>
        <w:sz w:val="36"/>
        <w:szCs w:val="36"/>
      </w:rPr>
    </w:pPr>
    <w:r>
      <w:rPr>
        <w:b/>
        <w:bCs/>
        <w:color w:val="0070C0"/>
        <w:sz w:val="36"/>
        <w:szCs w:val="36"/>
      </w:rPr>
      <w:t>INSTRUCTIONS ON HOW TO SCAN STAAR TESTING BOOKLETS INTO BOXES FOR WAREHOUSE RETURN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9D7"/>
    <w:multiLevelType w:val="hybridMultilevel"/>
    <w:tmpl w:val="792C1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30A8"/>
    <w:multiLevelType w:val="hybridMultilevel"/>
    <w:tmpl w:val="994C9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81"/>
    <w:rsid w:val="002F7F5A"/>
    <w:rsid w:val="00584681"/>
    <w:rsid w:val="0070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FEA67"/>
  <w15:chartTrackingRefBased/>
  <w15:docId w15:val="{26DF6A4E-B678-4A68-B15D-B3FF3BDD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8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01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FC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1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FC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72A14.3041090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7.jpg@01D72A14.304109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6.png@01D72A13.B944FB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A. Jenney</dc:creator>
  <cp:keywords/>
  <dc:description/>
  <cp:lastModifiedBy>Debra A. Jenney</cp:lastModifiedBy>
  <cp:revision>2</cp:revision>
  <dcterms:created xsi:type="dcterms:W3CDTF">2021-04-05T19:04:00Z</dcterms:created>
  <dcterms:modified xsi:type="dcterms:W3CDTF">2021-04-07T14:54:00Z</dcterms:modified>
</cp:coreProperties>
</file>